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w:t>
      </w:r>
      <w:r>
        <w:rPr>
          <w:rFonts w:hint="eastAsia" w:ascii="Arial" w:hAnsi="Arial" w:eastAsia="宋体" w:cs="Times New Roman"/>
          <w:b/>
          <w:bCs/>
          <w:sz w:val="24"/>
          <w:szCs w:val="24"/>
          <w:lang w:val="en-US" w:eastAsia="zh-CN"/>
        </w:rPr>
        <w:t>43</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timing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During the meeting, whether to define test cases for some of the scenarios of transmit timing and timing advance was discussed. Companies had different views on the scope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ind w:left="852" w:hanging="85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3-3-7: Timing</w:t>
            </w:r>
          </w:p>
          <w:p>
            <w:pPr>
              <w:spacing w:after="120" w:line="259" w:lineRule="auto"/>
              <w:rPr>
                <w:i/>
                <w:iCs/>
                <w:color w:val="C55A11" w:themeColor="accent2" w:themeShade="BF"/>
                <w:lang w:eastAsia="zh-CN"/>
              </w:rPr>
            </w:pPr>
            <w:r>
              <w:rPr>
                <w:i/>
                <w:iCs/>
                <w:color w:val="C55A11" w:themeColor="accent2" w:themeShade="BF"/>
                <w:lang w:eastAsia="zh-CN"/>
              </w:rPr>
              <w:t xml:space="preserve">RAN4 to specify at least the following test cases: </w:t>
            </w:r>
          </w:p>
          <w:p>
            <w:pPr>
              <w:spacing w:after="60"/>
              <w:ind w:left="852" w:hanging="852"/>
              <w:rPr>
                <w:i/>
                <w:iCs/>
                <w:color w:val="C55A11" w:themeColor="accent2" w:themeShade="BF"/>
                <w:lang w:eastAsia="zh-CN"/>
              </w:rPr>
            </w:pPr>
            <w:r>
              <w:rPr>
                <w:i/>
                <w:iCs/>
                <w:color w:val="C55A11" w:themeColor="accent2" w:themeShade="BF"/>
                <w:lang w:eastAsia="zh-CN"/>
              </w:rPr>
              <w:t>1.</w:t>
            </w:r>
            <w:r>
              <w:rPr>
                <w:i/>
                <w:iCs/>
                <w:color w:val="C55A11" w:themeColor="accent2" w:themeShade="BF"/>
                <w:lang w:eastAsia="zh-CN"/>
              </w:rPr>
              <w:tab/>
            </w:r>
            <w:r>
              <w:rPr>
                <w:i/>
                <w:iCs/>
                <w:color w:val="C55A11" w:themeColor="accent2" w:themeShade="BF"/>
                <w:lang w:eastAsia="zh-CN"/>
              </w:rPr>
              <w:t xml:space="preserve">UE transmit timing with NR-U PCell </w:t>
            </w:r>
          </w:p>
          <w:p>
            <w:pPr>
              <w:spacing w:after="60"/>
              <w:ind w:left="852" w:hanging="852"/>
              <w:rPr>
                <w:i/>
                <w:iCs/>
                <w:color w:val="C55A11" w:themeColor="accent2" w:themeShade="BF"/>
                <w:lang w:eastAsia="zh-CN"/>
              </w:rPr>
            </w:pPr>
            <w:r>
              <w:rPr>
                <w:i/>
                <w:iCs/>
                <w:color w:val="C55A11" w:themeColor="accent2" w:themeShade="BF"/>
                <w:lang w:eastAsia="zh-CN"/>
              </w:rPr>
              <w:t>2.</w:t>
            </w:r>
            <w:r>
              <w:rPr>
                <w:i/>
                <w:iCs/>
                <w:color w:val="C55A11" w:themeColor="accent2" w:themeShade="BF"/>
                <w:lang w:eastAsia="zh-CN"/>
              </w:rPr>
              <w:tab/>
            </w:r>
            <w:r>
              <w:rPr>
                <w:i/>
                <w:iCs/>
                <w:color w:val="C55A11" w:themeColor="accent2" w:themeShade="BF"/>
                <w:lang w:eastAsia="zh-CN"/>
              </w:rPr>
              <w:t>UE transmit timing with NR-U PSCell</w:t>
            </w:r>
          </w:p>
          <w:p>
            <w:pPr>
              <w:spacing w:after="60"/>
              <w:rPr>
                <w:i/>
                <w:iCs/>
                <w:color w:val="C55A11" w:themeColor="accent2" w:themeShade="BF"/>
                <w:lang w:eastAsia="zh-CN"/>
              </w:rPr>
            </w:pPr>
          </w:p>
          <w:p>
            <w:pPr>
              <w:overflowPunct w:val="0"/>
              <w:autoSpaceDE w:val="0"/>
              <w:autoSpaceDN w:val="0"/>
              <w:adjustRightInd w:val="0"/>
              <w:textAlignment w:val="baseline"/>
              <w:rPr>
                <w:rFonts w:eastAsia="Yu Mincho"/>
                <w:i/>
                <w:iCs/>
                <w:lang w:val="en-US" w:eastAsia="zh-CN"/>
              </w:rPr>
            </w:pPr>
            <w:r>
              <w:rPr>
                <w:rFonts w:eastAsia="Yu Mincho"/>
                <w:i/>
                <w:iCs/>
                <w:lang w:val="en-US" w:eastAsia="zh-CN"/>
              </w:rPr>
              <w:t>Other cases discussed in RAN4 97e:</w:t>
            </w:r>
          </w:p>
          <w:p>
            <w:pPr>
              <w:spacing w:after="60"/>
              <w:ind w:left="852" w:hanging="852"/>
              <w:rPr>
                <w:rFonts w:hint="eastAsia" w:eastAsia="宋体"/>
                <w:sz w:val="22"/>
                <w:szCs w:val="22"/>
                <w:vertAlign w:val="baseline"/>
                <w:lang w:val="en-US" w:eastAsia="zh-CN"/>
              </w:rPr>
            </w:pPr>
            <w:r>
              <w:rPr>
                <w:i/>
                <w:iCs/>
                <w:color w:val="000000" w:themeColor="text1"/>
                <w:lang w:eastAsia="zh-CN"/>
                <w14:textFill>
                  <w14:solidFill>
                    <w14:schemeClr w14:val="tx1"/>
                  </w14:solidFill>
                </w14:textFill>
              </w:rPr>
              <w:t>Timing advance test with NR-U PCell and NR-U PSCell</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For transmit timing and timing advance, for one hand we understand that no new behavior is introduced to NR-U compared to legacy NR case which has direct impact on timing advance. One the other hand maintaining the TA is critical for the UE and the network for normal data services. If the UE fails to meet requirements for TA, the efficiency for the network and other UEs will be affected. Thus, even if the TA part of specification is not changed by NR-U, the feature is critical and shall be tested.</w:t>
      </w:r>
    </w:p>
    <w:p>
      <w:pPr>
        <w:rPr>
          <w:rFonts w:hint="default" w:eastAsia="宋体"/>
          <w:sz w:val="22"/>
          <w:szCs w:val="22"/>
          <w:lang w:val="en-US" w:eastAsia="zh-CN"/>
        </w:rPr>
      </w:pPr>
      <w:r>
        <w:rPr>
          <w:rFonts w:hint="eastAsia" w:eastAsia="宋体"/>
          <w:sz w:val="22"/>
          <w:szCs w:val="22"/>
          <w:lang w:val="en-US" w:eastAsia="zh-CN"/>
        </w:rPr>
        <w:t>To guarantee that the UEs can meet all requirements, tests are more promising than analysis. Thus, we prefer to define test cases for the TA of UE operating in NR-U. Considering the current status of the group and the completion rate of the WI, we propose to define test cases on TA only for NR-U PCell.</w:t>
      </w:r>
    </w:p>
    <w:p>
      <w:pPr>
        <w:pStyle w:val="38"/>
        <w:rPr>
          <w:rFonts w:hint="default"/>
          <w:lang w:val="en-US" w:eastAsia="zh-CN"/>
        </w:rPr>
      </w:pPr>
      <w:r>
        <w:rPr>
          <w:rFonts w:hint="eastAsia" w:eastAsia="宋体"/>
          <w:sz w:val="22"/>
          <w:szCs w:val="22"/>
          <w:lang w:val="en-US" w:eastAsia="zh-CN"/>
        </w:rPr>
        <w:t>Define test cases on TA only for NR-U PCell.</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bookmarkStart w:id="4" w:name="_GoBack"/>
      <w:r>
        <w:rPr>
          <w:rFonts w:hint="eastAsia" w:eastAsia="宋体"/>
          <w:b/>
          <w:bCs/>
          <w:sz w:val="22"/>
          <w:szCs w:val="22"/>
          <w:lang w:val="en-US" w:eastAsia="zh-CN"/>
        </w:rPr>
        <w:t>Define test cases on TA only for NR-U PCell</w:t>
      </w:r>
      <w:bookmarkEnd w:id="4"/>
      <w:r>
        <w:rPr>
          <w:rFonts w:hint="eastAsia" w:eastAsia="宋体"/>
          <w:b/>
          <w:bCs/>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4F31"/>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5ED28A5"/>
    <w:rsid w:val="16222725"/>
    <w:rsid w:val="162900B5"/>
    <w:rsid w:val="1634239A"/>
    <w:rsid w:val="16394032"/>
    <w:rsid w:val="164F667E"/>
    <w:rsid w:val="165D0583"/>
    <w:rsid w:val="16654289"/>
    <w:rsid w:val="16A74903"/>
    <w:rsid w:val="16BA6C12"/>
    <w:rsid w:val="16CB37AF"/>
    <w:rsid w:val="16DB79C9"/>
    <w:rsid w:val="16F55CC6"/>
    <w:rsid w:val="17141F2D"/>
    <w:rsid w:val="175D537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EF0797"/>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3FE1DFA"/>
    <w:rsid w:val="248F188B"/>
    <w:rsid w:val="24BD0518"/>
    <w:rsid w:val="24E91488"/>
    <w:rsid w:val="25077EC5"/>
    <w:rsid w:val="256A021C"/>
    <w:rsid w:val="25962669"/>
    <w:rsid w:val="25AE6FA2"/>
    <w:rsid w:val="25C20278"/>
    <w:rsid w:val="25C545AD"/>
    <w:rsid w:val="262D62D9"/>
    <w:rsid w:val="26681CAB"/>
    <w:rsid w:val="267E5FCE"/>
    <w:rsid w:val="272A2C83"/>
    <w:rsid w:val="27572E0B"/>
    <w:rsid w:val="2762235C"/>
    <w:rsid w:val="276537E8"/>
    <w:rsid w:val="280C272A"/>
    <w:rsid w:val="28176D87"/>
    <w:rsid w:val="281B6C69"/>
    <w:rsid w:val="284E33F7"/>
    <w:rsid w:val="28686999"/>
    <w:rsid w:val="287A3770"/>
    <w:rsid w:val="28A011E1"/>
    <w:rsid w:val="28C759BF"/>
    <w:rsid w:val="290A138C"/>
    <w:rsid w:val="293606FA"/>
    <w:rsid w:val="29517179"/>
    <w:rsid w:val="29943226"/>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570842"/>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695182"/>
    <w:rsid w:val="40776BAF"/>
    <w:rsid w:val="407921CE"/>
    <w:rsid w:val="40A51EEE"/>
    <w:rsid w:val="40C04FE0"/>
    <w:rsid w:val="418745C6"/>
    <w:rsid w:val="41AA7137"/>
    <w:rsid w:val="41EC58FB"/>
    <w:rsid w:val="41F931F1"/>
    <w:rsid w:val="4231331F"/>
    <w:rsid w:val="42381A71"/>
    <w:rsid w:val="426B0C9E"/>
    <w:rsid w:val="42841694"/>
    <w:rsid w:val="429266C7"/>
    <w:rsid w:val="42AF1322"/>
    <w:rsid w:val="42B30ACF"/>
    <w:rsid w:val="42E73C10"/>
    <w:rsid w:val="43321063"/>
    <w:rsid w:val="43364422"/>
    <w:rsid w:val="436D1B68"/>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050B85"/>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62AE4"/>
    <w:rsid w:val="49AB0658"/>
    <w:rsid w:val="49B70C15"/>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A4319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352AEF"/>
    <w:rsid w:val="69462386"/>
    <w:rsid w:val="695E51BF"/>
    <w:rsid w:val="69C96ADD"/>
    <w:rsid w:val="69DC5A3B"/>
    <w:rsid w:val="69E50464"/>
    <w:rsid w:val="6A2F06BE"/>
    <w:rsid w:val="6A7016FE"/>
    <w:rsid w:val="6AFC6812"/>
    <w:rsid w:val="6B5E2EC6"/>
    <w:rsid w:val="6B7575DB"/>
    <w:rsid w:val="6C42065A"/>
    <w:rsid w:val="6C6F44FD"/>
    <w:rsid w:val="6C8E0A83"/>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42DB9"/>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2021-01-15T13:26:03Z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